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DC4288">
      <w:pPr>
        <w:keepNext w:val="0"/>
        <w:keepLines w:val="0"/>
        <w:pageBreakBefore w:val="0"/>
        <w:widowControl/>
        <w:shd w:val="clear" w:color="auto" w:fill="FFFFFF"/>
        <w:kinsoku/>
        <w:wordWrap/>
        <w:overflowPunct/>
        <w:topLinePunct w:val="0"/>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b/>
          <w:bCs/>
          <w:color w:val="auto"/>
          <w:kern w:val="36"/>
          <w:sz w:val="44"/>
          <w:szCs w:val="44"/>
          <w14:ligatures w14:val="none"/>
        </w:rPr>
      </w:pPr>
      <w:r>
        <w:rPr>
          <w:rFonts w:hint="eastAsia" w:ascii="方正小标宋简体" w:hAnsi="方正小标宋简体" w:eastAsia="方正小标宋简体" w:cs="方正小标宋简体"/>
          <w:b/>
          <w:bCs/>
          <w:color w:val="auto"/>
          <w:kern w:val="36"/>
          <w:sz w:val="44"/>
          <w:szCs w:val="44"/>
          <w14:ligatures w14:val="none"/>
        </w:rPr>
        <w:t>教育部关于建立健全高校师德建设</w:t>
      </w:r>
    </w:p>
    <w:p w14:paraId="24C40C88">
      <w:pPr>
        <w:keepNext w:val="0"/>
        <w:keepLines w:val="0"/>
        <w:pageBreakBefore w:val="0"/>
        <w:widowControl/>
        <w:shd w:val="clear" w:color="auto" w:fill="FFFFFF"/>
        <w:kinsoku/>
        <w:wordWrap/>
        <w:overflowPunct/>
        <w:topLinePunct w:val="0"/>
        <w:autoSpaceDE/>
        <w:autoSpaceDN/>
        <w:bidi w:val="0"/>
        <w:adjustRightInd/>
        <w:snapToGrid/>
        <w:spacing w:line="560" w:lineRule="exact"/>
        <w:jc w:val="center"/>
        <w:textAlignment w:val="auto"/>
        <w:outlineLvl w:val="0"/>
        <w:rPr>
          <w:rFonts w:hint="eastAsia" w:ascii="仿宋_GB2312" w:hAnsi="仿宋_GB2312" w:eastAsia="仿宋_GB2312" w:cs="仿宋_GB2312"/>
          <w:b/>
          <w:bCs/>
          <w:color w:val="auto"/>
          <w:kern w:val="36"/>
          <w:sz w:val="32"/>
          <w:szCs w:val="32"/>
          <w14:ligatures w14:val="none"/>
        </w:rPr>
      </w:pPr>
      <w:r>
        <w:rPr>
          <w:rFonts w:hint="eastAsia" w:ascii="方正小标宋简体" w:hAnsi="方正小标宋简体" w:eastAsia="方正小标宋简体" w:cs="方正小标宋简体"/>
          <w:b/>
          <w:bCs/>
          <w:color w:val="auto"/>
          <w:kern w:val="36"/>
          <w:sz w:val="44"/>
          <w:szCs w:val="44"/>
          <w14:ligatures w14:val="none"/>
        </w:rPr>
        <w:t>长效机制的意见</w:t>
      </w:r>
    </w:p>
    <w:p w14:paraId="102173A8">
      <w:pPr>
        <w:keepNext w:val="0"/>
        <w:keepLines w:val="0"/>
        <w:pageBreakBefore w:val="0"/>
        <w:widowControl/>
        <w:shd w:val="clear" w:color="auto" w:fill="FFFFFF"/>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auto"/>
          <w:kern w:val="0"/>
          <w:sz w:val="32"/>
          <w:szCs w:val="32"/>
          <w14:ligatures w14:val="none"/>
        </w:rPr>
      </w:pPr>
      <w:bookmarkStart w:id="0" w:name="_GoBack"/>
      <w:r>
        <w:rPr>
          <w:rFonts w:hint="eastAsia" w:ascii="仿宋_GB2312" w:hAnsi="仿宋_GB2312" w:eastAsia="仿宋_GB2312" w:cs="仿宋_GB2312"/>
          <w:color w:val="auto"/>
          <w:kern w:val="0"/>
          <w:sz w:val="32"/>
          <w:szCs w:val="32"/>
          <w14:ligatures w14:val="none"/>
        </w:rPr>
        <w:t>教师〔2014〕10号</w:t>
      </w:r>
      <w:bookmarkEnd w:id="0"/>
    </w:p>
    <w:p w14:paraId="677376BF">
      <w:pPr>
        <w:keepNext w:val="0"/>
        <w:keepLines w:val="0"/>
        <w:pageBreakBefore w:val="0"/>
        <w:widowControl/>
        <w:shd w:val="clear" w:color="auto" w:fill="FFFFFF"/>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14:ligatures w14:val="none"/>
        </w:rPr>
      </w:pPr>
    </w:p>
    <w:p w14:paraId="6E5EBAFC">
      <w:pPr>
        <w:keepNext w:val="0"/>
        <w:keepLines w:val="0"/>
        <w:pageBreakBefore w:val="0"/>
        <w:widowControl/>
        <w:shd w:val="clear" w:color="auto" w:fill="FFFFFF"/>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14:ligatures w14:val="none"/>
        </w:rPr>
      </w:pPr>
      <w:r>
        <w:rPr>
          <w:rFonts w:hint="eastAsia" w:ascii="仿宋_GB2312" w:hAnsi="仿宋_GB2312" w:eastAsia="仿宋_GB2312" w:cs="仿宋_GB2312"/>
          <w:color w:val="auto"/>
          <w:kern w:val="0"/>
          <w:sz w:val="32"/>
          <w:szCs w:val="32"/>
          <w14:ligatures w14:val="none"/>
        </w:rPr>
        <w:t>各省、自治区、直辖市教育厅（教委），有关部门（单位）教育司（局），新疆生产建设兵团教育局，部属各高等学校：</w:t>
      </w:r>
    </w:p>
    <w:p w14:paraId="43385646">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14:ligatures w14:val="none"/>
        </w:rPr>
      </w:pPr>
      <w:r>
        <w:rPr>
          <w:rFonts w:hint="eastAsia" w:ascii="仿宋_GB2312" w:hAnsi="仿宋_GB2312" w:eastAsia="仿宋_GB2312" w:cs="仿宋_GB2312"/>
          <w:color w:val="auto"/>
          <w:kern w:val="0"/>
          <w:sz w:val="32"/>
          <w:szCs w:val="32"/>
          <w14:ligatures w14:val="none"/>
        </w:rPr>
        <w:t>为深入贯彻习近平总书记9月9日在北京师范大学师生代表座谈会上的重要讲话精神，积极引导广大高校教师做有理想信念、有道德情操、有扎实学识、有仁爱之心的党和人民满意的好老师，大力加强和改进师德建设，努力培养造就一支师德高尚、业务精湛、结构合理、充满活力的高素质专业化高校教师队伍，现就建立健全高校师德建设长效机制提出如下意见：</w:t>
      </w:r>
    </w:p>
    <w:p w14:paraId="635297AA">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color w:val="auto"/>
          <w:kern w:val="0"/>
          <w:sz w:val="32"/>
          <w:szCs w:val="32"/>
          <w14:ligatures w14:val="none"/>
        </w:rPr>
      </w:pPr>
      <w:r>
        <w:rPr>
          <w:rFonts w:hint="eastAsia" w:ascii="仿宋_GB2312" w:hAnsi="仿宋_GB2312" w:eastAsia="仿宋_GB2312" w:cs="仿宋_GB2312"/>
          <w:b/>
          <w:bCs/>
          <w:color w:val="auto"/>
          <w:kern w:val="0"/>
          <w:sz w:val="32"/>
          <w:szCs w:val="32"/>
          <w14:ligatures w14:val="none"/>
        </w:rPr>
        <w:t>一、深刻认识新时期建立健全高校师德建设长效机制的重要性和紧迫性</w:t>
      </w:r>
    </w:p>
    <w:p w14:paraId="7291459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14:ligatures w14:val="none"/>
        </w:rPr>
      </w:pPr>
      <w:r>
        <w:rPr>
          <w:rFonts w:hint="eastAsia" w:ascii="仿宋_GB2312" w:hAnsi="仿宋_GB2312" w:eastAsia="仿宋_GB2312" w:cs="仿宋_GB2312"/>
          <w:color w:val="auto"/>
          <w:kern w:val="0"/>
          <w:sz w:val="32"/>
          <w:szCs w:val="32"/>
          <w14:ligatures w14:val="none"/>
        </w:rPr>
        <w:t>高校教师的思想政治素质和道德情操直接影响着青年学生世界观、人生观、价值观的养成，决定着人才培养的质量，关系着国家和民族的未来。加强和改进高校师德建设工作，对于全面提高高等教育质量、推进高等教育事业科学发展，培养中国特色社会主义事业的建设者和接班人、实现中华民族伟大复兴的中国梦，具有重大而深远的意义。</w:t>
      </w:r>
    </w:p>
    <w:p w14:paraId="4A27ED8D">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14:ligatures w14:val="none"/>
        </w:rPr>
      </w:pPr>
      <w:r>
        <w:rPr>
          <w:rFonts w:hint="eastAsia" w:ascii="仿宋_GB2312" w:hAnsi="仿宋_GB2312" w:eastAsia="仿宋_GB2312" w:cs="仿宋_GB2312"/>
          <w:color w:val="auto"/>
          <w:kern w:val="0"/>
          <w:sz w:val="32"/>
          <w:szCs w:val="32"/>
          <w14:ligatures w14:val="none"/>
        </w:rPr>
        <w:t>长期以来，广大高校教师忠诚党的教育事业，呕心沥血、默默奉献，潜心治学、教书育人，敢于担当、锐意创新，为高等教育改革发展做出了巨大贡献，赢得了全社会广泛赞誉和普遍尊重。但是，当前社会变革转型时期所带来的负面现象也对教师产生影响。少数高校教师理想信念模糊，育人意识淡薄，教学敷衍，学风浮躁，甚至学术不端，言行失范、道德败坏等，严重损害了高校教师的社会形象和职业声誉。一些地方和高校对新时期师德建设重视不够，工作方法陈旧、实效性不强。各地各高校要充分认识新时期加强和改进高校师德建设工作的重要性和紧迫性，建立健全高校师德建设长效机制，从根本上遏制和杜绝高校师德失范现象的发生，切实提高高校师德建设水平，全面提升高校教师师德素养。</w:t>
      </w:r>
    </w:p>
    <w:p w14:paraId="78D11482">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color w:val="auto"/>
          <w:kern w:val="0"/>
          <w:sz w:val="32"/>
          <w:szCs w:val="32"/>
          <w14:ligatures w14:val="none"/>
        </w:rPr>
      </w:pPr>
      <w:r>
        <w:rPr>
          <w:rFonts w:hint="eastAsia" w:ascii="仿宋_GB2312" w:hAnsi="仿宋_GB2312" w:eastAsia="仿宋_GB2312" w:cs="仿宋_GB2312"/>
          <w:b/>
          <w:bCs/>
          <w:color w:val="auto"/>
          <w:kern w:val="0"/>
          <w:sz w:val="32"/>
          <w:szCs w:val="32"/>
          <w14:ligatures w14:val="none"/>
        </w:rPr>
        <w:t>二、建立健全高校师德建设长效机制的原则和要求</w:t>
      </w:r>
    </w:p>
    <w:p w14:paraId="080CBAB6">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14:ligatures w14:val="none"/>
        </w:rPr>
      </w:pPr>
      <w:r>
        <w:rPr>
          <w:rFonts w:hint="eastAsia" w:ascii="仿宋_GB2312" w:hAnsi="仿宋_GB2312" w:eastAsia="仿宋_GB2312" w:cs="仿宋_GB2312"/>
          <w:color w:val="auto"/>
          <w:kern w:val="0"/>
          <w:sz w:val="32"/>
          <w:szCs w:val="32"/>
          <w14:ligatures w14:val="none"/>
        </w:rPr>
        <w:t>建立健全高校师德建设长效机制的基本原则：坚持价值引领，以社会主义核心价值观为高校教师崇德修身的基本遵循，促进高校教师带头培育和践行社会主义核心价值观。坚持师德为上，以立德树人为出发点和立足点，找准与高校教师思想的共鸣点，增强高校师德建设的针对性和贴近性，培育高校教师高尚道德情操。坚持以人为本，关注高校教师发展诉求和价值愿望，落实高校教师主体地位，激发高校教师的责任感使命感。坚持改进创新，不断探索新时期高校师德建设的规律特点，善于运用高校教师喜闻乐见的方式方法，增强高校师德建设的实际效果。</w:t>
      </w:r>
    </w:p>
    <w:p w14:paraId="6B6398C7">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14:ligatures w14:val="none"/>
        </w:rPr>
      </w:pPr>
      <w:r>
        <w:rPr>
          <w:rFonts w:hint="eastAsia" w:ascii="仿宋_GB2312" w:hAnsi="仿宋_GB2312" w:eastAsia="仿宋_GB2312" w:cs="仿宋_GB2312"/>
          <w:color w:val="auto"/>
          <w:kern w:val="0"/>
          <w:sz w:val="32"/>
          <w:szCs w:val="32"/>
          <w14:ligatures w14:val="none"/>
        </w:rPr>
        <w:t>建立健全高校师德建设长效机制的工作要求：充分尊重高校教师主体地位，注重宣传教育、示范引领、实践养成相统一，政策保障、制度规范、法律约束相衔接，建立教育、宣传、考核、监督与奖惩相结合的高校师德建设工作机制，引导广大高校教师自尊自律自强，做学生敬仰爱戴的品行之师、学问之师，做社会主义道德的示范者、诚信风尚的引领者、公平正义的维护者。</w:t>
      </w:r>
    </w:p>
    <w:p w14:paraId="66E90121">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color w:val="auto"/>
          <w:kern w:val="0"/>
          <w:sz w:val="32"/>
          <w:szCs w:val="32"/>
          <w14:ligatures w14:val="none"/>
        </w:rPr>
      </w:pPr>
      <w:r>
        <w:rPr>
          <w:rFonts w:hint="eastAsia" w:ascii="仿宋_GB2312" w:hAnsi="仿宋_GB2312" w:eastAsia="仿宋_GB2312" w:cs="仿宋_GB2312"/>
          <w:b/>
          <w:bCs/>
          <w:color w:val="auto"/>
          <w:kern w:val="0"/>
          <w:sz w:val="32"/>
          <w:szCs w:val="32"/>
          <w14:ligatures w14:val="none"/>
        </w:rPr>
        <w:t>三、建立健全高校师德建设长效机制的主要举措</w:t>
      </w:r>
    </w:p>
    <w:p w14:paraId="13DD2C21">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14:ligatures w14:val="none"/>
        </w:rPr>
      </w:pPr>
      <w:r>
        <w:rPr>
          <w:rFonts w:hint="eastAsia" w:ascii="仿宋_GB2312" w:hAnsi="仿宋_GB2312" w:eastAsia="仿宋_GB2312" w:cs="仿宋_GB2312"/>
          <w:color w:val="auto"/>
          <w:kern w:val="0"/>
          <w:sz w:val="32"/>
          <w:szCs w:val="32"/>
          <w14:ligatures w14:val="none"/>
        </w:rPr>
        <w:t>创新师德教育，引导教师树立崇高理想。将师德教育摆在高校教师培养首位，贯穿高校教师职业生涯全过程。青年教师入职培训必须开设师德教育专题。要将师德教育作为优秀教师团队培养，骨干教师、学科带头人和学科领军人物培育的重要内容。重点加强社会主义核心价值观教育，重视理想信念教育、法制教育和心理健康教育。创新教育理念、模式和手段。建立师德建设专家库，把高校师德重大典型、全国教书育人楷模、一线优秀教师等请进课堂，用他们的感人事迹诠释师德内涵。举行新教师入职宣誓仪式和老教师荣休仪式。结合教学科研、社会服务活动开展师德教育，鼓励广大高校教师参与调查研究、学习考察、挂职锻炼、志愿服务等实践活动，切实增强师德教育效果。</w:t>
      </w:r>
    </w:p>
    <w:p w14:paraId="26F29900">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14:ligatures w14:val="none"/>
        </w:rPr>
      </w:pPr>
      <w:r>
        <w:rPr>
          <w:rFonts w:hint="eastAsia" w:ascii="仿宋_GB2312" w:hAnsi="仿宋_GB2312" w:eastAsia="仿宋_GB2312" w:cs="仿宋_GB2312"/>
          <w:color w:val="auto"/>
          <w:kern w:val="0"/>
          <w:sz w:val="32"/>
          <w:szCs w:val="32"/>
          <w14:ligatures w14:val="none"/>
        </w:rPr>
        <w:t>加强师德宣传，培育重德养德良好风尚。把握正确舆论导向，坚持师德宣传制度化、常态化，将师德宣传作为高校宣传思想工作的重要组成部分。系统宣讲《教育法》《高等教育法》《教师法》和教育规划纲要等法规文件中有关师德的要求，宣传普及《高校教师职业道德规范》。把培育良好师德师风作为大学校园文化建设的核心内容，挖掘和提炼名家名师为人为学为师的大爱师魂，生动展现当代高校教师的精神风貌。充分利用教师节等重大节庆日、纪念日契机，通过电视、广播、报纸、网站及微博、微信、微电影等新媒体形式，集中宣传高校优秀教师的典型事迹，努力营造崇尚师德、争创师德典型的良好舆论环境和社会氛围。对于高校师德建设中出现的热点难点问题，要及时应对并有效引导。</w:t>
      </w:r>
    </w:p>
    <w:p w14:paraId="43E45284">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14:ligatures w14:val="none"/>
        </w:rPr>
      </w:pPr>
      <w:r>
        <w:rPr>
          <w:rFonts w:hint="eastAsia" w:ascii="仿宋_GB2312" w:hAnsi="仿宋_GB2312" w:eastAsia="仿宋_GB2312" w:cs="仿宋_GB2312"/>
          <w:color w:val="auto"/>
          <w:kern w:val="0"/>
          <w:sz w:val="32"/>
          <w:szCs w:val="32"/>
          <w14:ligatures w14:val="none"/>
        </w:rPr>
        <w:t>健全师德考核，促进教师提高自身修养。将师德考核作为高校教师考核的重要内容。师德考核要充分尊重教师主体地位，坚持客观公正、公平公开原则，采取个人自评、学生测评、同事互评、单位考评等多种形式进行。考核结果应通知教师本人，考核优秀的应当予以公示表彰，确定考核不合格者应当向教师说明理由，听取教师本人意见。考核结果存入教师档案。师德考核不合格者年度考核应评定为不合格，并在教师职务（职称）评审、岗位聘用、评优奖励等环节实行一票否决。高校结合实际制定师德考核的具体实施办法。</w:t>
      </w:r>
    </w:p>
    <w:p w14:paraId="293E70AA">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14:ligatures w14:val="none"/>
        </w:rPr>
      </w:pPr>
      <w:r>
        <w:rPr>
          <w:rFonts w:hint="eastAsia" w:ascii="仿宋_GB2312" w:hAnsi="仿宋_GB2312" w:eastAsia="仿宋_GB2312" w:cs="仿宋_GB2312"/>
          <w:color w:val="auto"/>
          <w:kern w:val="0"/>
          <w:sz w:val="32"/>
          <w:szCs w:val="32"/>
          <w14:ligatures w14:val="none"/>
        </w:rPr>
        <w:t>强化师德监督，有效防止师德失范行为。将师德建设作为高校教育质量督导评估重要内容。高校要建立健全师德建设年度评议、师德状况调研、师德重大问题报告和师德舆情快速反应制度，及时研究加强和改进师德建设的政策措施。构建高校、教师、学生、家长和社会多方参与的师德监督体系。健全完善学生评教机制。充分发挥教职工代表大会、工会、学术委员会、教授委员会等在师德建设中的作用。高校及主管部门建立师德投诉举报平台，及时掌握师德信息动态，及时纠正不良倾向和问题。对师德问题做到有诉必查，有查必果，有果必复。</w:t>
      </w:r>
    </w:p>
    <w:p w14:paraId="5B74F403">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14:ligatures w14:val="none"/>
        </w:rPr>
      </w:pPr>
      <w:r>
        <w:rPr>
          <w:rFonts w:hint="eastAsia" w:ascii="仿宋_GB2312" w:hAnsi="仿宋_GB2312" w:eastAsia="仿宋_GB2312" w:cs="仿宋_GB2312"/>
          <w:color w:val="auto"/>
          <w:kern w:val="0"/>
          <w:sz w:val="32"/>
          <w:szCs w:val="32"/>
          <w14:ligatures w14:val="none"/>
        </w:rPr>
        <w:t>注重师德激励，引导教师提升精神境界。完善师德表彰奖励制度，将师德表现作为评奖评优的首要条件。在同等条件下，师德表现突出的，在教师职务（职称）晋升和岗位聘用，研究生导师遴选，骨干教师、学科带头人和学科领军人物选培，各类高层次人才及资深教授、荣誉教授等评选中优先考虑。</w:t>
      </w:r>
    </w:p>
    <w:p w14:paraId="30C1F128">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14:ligatures w14:val="none"/>
        </w:rPr>
      </w:pPr>
      <w:r>
        <w:rPr>
          <w:rFonts w:hint="eastAsia" w:ascii="仿宋_GB2312" w:hAnsi="仿宋_GB2312" w:eastAsia="仿宋_GB2312" w:cs="仿宋_GB2312"/>
          <w:color w:val="auto"/>
          <w:kern w:val="0"/>
          <w:sz w:val="32"/>
          <w:szCs w:val="32"/>
          <w14:ligatures w14:val="none"/>
        </w:rPr>
        <w:t>严格师德惩处，发挥制度规范约束作用。建立健全高校教师违反师德行为的惩处机制。高校教师不得有下列情形：损害国家利益，损害学生和学校合法权益的行为；在教育教学活动中有违背党的路线方针政策的言行；在科研工作中弄虚作假、抄袭剽窃、篡改侵吞他人学术成果、违规使用科研经费以及滥用学术资源和学术影响；影响正常教育教学工作的兼职兼薪行为；在招生、考试、学生推优、保研等工作中徇私舞弊；索要或收受学生及家长的礼品、礼金、有价证券、支付凭证等财物；对学生实施性骚扰或与学生发生不正当关系；其他违反高校教师职业道德的行为。有上述情形的，依法依规分别给予警告、记过、降低专业技术职务等级、撤销专业技术职务或者行政职务、解除聘用合同或者开除。对严重违法违纪的要及时移交相关部门。建立问责机制，对教师严重违反师德行为监管不力、拒不处分、拖延处分或推诿隐瞒，造成不良影响或严重后果的，要追究高校主要负责人的责任。</w:t>
      </w:r>
    </w:p>
    <w:p w14:paraId="1B4D4BBF">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color w:val="auto"/>
          <w:kern w:val="0"/>
          <w:sz w:val="32"/>
          <w:szCs w:val="32"/>
          <w14:ligatures w14:val="none"/>
        </w:rPr>
      </w:pPr>
      <w:r>
        <w:rPr>
          <w:rFonts w:hint="eastAsia" w:ascii="仿宋_GB2312" w:hAnsi="仿宋_GB2312" w:eastAsia="仿宋_GB2312" w:cs="仿宋_GB2312"/>
          <w:b/>
          <w:bCs/>
          <w:color w:val="auto"/>
          <w:kern w:val="0"/>
          <w:sz w:val="32"/>
          <w:szCs w:val="32"/>
          <w14:ligatures w14:val="none"/>
        </w:rPr>
        <w:t>四、充分激发高校教师加强师德建设的自觉性</w:t>
      </w:r>
    </w:p>
    <w:p w14:paraId="7F5FAB6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14:ligatures w14:val="none"/>
        </w:rPr>
      </w:pPr>
      <w:r>
        <w:rPr>
          <w:rFonts w:hint="eastAsia" w:ascii="仿宋_GB2312" w:hAnsi="仿宋_GB2312" w:eastAsia="仿宋_GB2312" w:cs="仿宋_GB2312"/>
          <w:color w:val="auto"/>
          <w:kern w:val="0"/>
          <w:sz w:val="32"/>
          <w:szCs w:val="32"/>
          <w14:ligatures w14:val="none"/>
        </w:rPr>
        <w:t>广大高校教师要充分认识自己所承担的庄严而神圣的使命，发扬主人翁精神，自觉捍卫职业尊严，珍惜教师声誉，提升师德境界。要将师德修养自觉纳入职业生涯规划，明确师德发展目标。要通过自主学习，自我改进，将师德规范转化为稳定的内在信念和行为品质。要将师德规范积极主动融入教育教学、科学研究和服务社会的实践中，提高师德践行能力。要弘扬重内省、重慎独的优良传统，在细微处见师德，在日常中守师德，养成师德自律习惯。</w:t>
      </w:r>
    </w:p>
    <w:p w14:paraId="143FD0DC">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14:ligatures w14:val="none"/>
        </w:rPr>
      </w:pPr>
      <w:r>
        <w:rPr>
          <w:rFonts w:hint="eastAsia" w:ascii="仿宋_GB2312" w:hAnsi="仿宋_GB2312" w:eastAsia="仿宋_GB2312" w:cs="仿宋_GB2312"/>
          <w:color w:val="auto"/>
          <w:kern w:val="0"/>
          <w:sz w:val="32"/>
          <w:szCs w:val="32"/>
          <w14:ligatures w14:val="none"/>
        </w:rPr>
        <w:t>高校要健全教师主体权益保障机制，根据《教育法》《高等教育法》《教师法》等法律法规和高等学校章程，明确并落实教师在高校办学中的主体地位。完善教师参与治校治学机制，在干部选拔任用、专业技术职务评聘、学术评价和各种评优选拔活动中，充分保障教师的知情权、参与权、表达权和监督权。创设公平正义、风清气正的环境条件。充分尊重教师的专业自主权，保障教师依法行使学术权利和学业评定权利。保护教师正当的申辩、申诉权利，依法建立教师权益保护机制，维护教师合法权益。健全教师发展制度，构建完整的职业发展体系，鼓励支持教师参加培训、开展学术交流合作。</w:t>
      </w:r>
    </w:p>
    <w:p w14:paraId="6F3C492F">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color w:val="auto"/>
          <w:kern w:val="0"/>
          <w:sz w:val="32"/>
          <w:szCs w:val="32"/>
          <w14:ligatures w14:val="none"/>
        </w:rPr>
      </w:pPr>
      <w:r>
        <w:rPr>
          <w:rFonts w:hint="eastAsia" w:ascii="仿宋_GB2312" w:hAnsi="仿宋_GB2312" w:eastAsia="仿宋_GB2312" w:cs="仿宋_GB2312"/>
          <w:b/>
          <w:bCs/>
          <w:color w:val="auto"/>
          <w:kern w:val="0"/>
          <w:sz w:val="32"/>
          <w:szCs w:val="32"/>
          <w14:ligatures w14:val="none"/>
        </w:rPr>
        <w:t>五、切实明确高校师德建设工作的责任主体</w:t>
      </w:r>
    </w:p>
    <w:p w14:paraId="76D071ED">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14:ligatures w14:val="none"/>
        </w:rPr>
      </w:pPr>
      <w:r>
        <w:rPr>
          <w:rFonts w:hint="eastAsia" w:ascii="仿宋_GB2312" w:hAnsi="仿宋_GB2312" w:eastAsia="仿宋_GB2312" w:cs="仿宋_GB2312"/>
          <w:color w:val="auto"/>
          <w:kern w:val="0"/>
          <w:sz w:val="32"/>
          <w:szCs w:val="32"/>
          <w14:ligatures w14:val="none"/>
        </w:rPr>
        <w:t>高校是师德建设的责任主体，主要负责人是师德建设的第一责任人。</w:t>
      </w:r>
      <w:r>
        <w:rPr>
          <w:rFonts w:hint="eastAsia" w:ascii="仿宋_GB2312" w:hAnsi="仿宋_GB2312" w:eastAsia="仿宋_GB2312" w:cs="仿宋_GB2312"/>
          <w:color w:val="auto"/>
          <w:kern w:val="0"/>
          <w:sz w:val="32"/>
          <w:szCs w:val="32"/>
          <w14:ligatures w14:val="none"/>
        </w:rPr>
        <w:t>高校要明确师德建设的牵头部门，成立组织、宣传、纪检监察、人事、教务、科研、工会、学术委员会等相关责任部门和组织协同配合的师德建设委员会；建立和完善党委统一领导、党政齐抓共管、院系具体落实、教师自我约束的领导体制和工作机制，形成师德建设合力。要建立一岗双责的责任追究机制。要加大师德建设经费投入力度，为师德建设提供坚实保障。</w:t>
      </w:r>
    </w:p>
    <w:p w14:paraId="35AF99FE">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14:ligatures w14:val="none"/>
        </w:rPr>
      </w:pPr>
      <w:r>
        <w:rPr>
          <w:rFonts w:hint="eastAsia" w:ascii="仿宋_GB2312" w:hAnsi="仿宋_GB2312" w:eastAsia="仿宋_GB2312" w:cs="仿宋_GB2312"/>
          <w:color w:val="auto"/>
          <w:kern w:val="0"/>
          <w:sz w:val="32"/>
          <w:szCs w:val="32"/>
          <w14:ligatures w14:val="none"/>
        </w:rPr>
        <w:t>高校主管部门要把师德建设摆在教师队伍建设的首位，主要领导亲自负责，并落实具体职能机构和人员。建立和完善师德建设督导评估制度，不断加大督导检查力度。支持高校设立师德建设研修基地，搭建教育交流平台，积极探索师德建设的特点和规律，不断提升师德建设科学化水平。</w:t>
      </w:r>
    </w:p>
    <w:p w14:paraId="2CB379B8">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14:ligatures w14:val="none"/>
        </w:rPr>
      </w:pPr>
      <w:r>
        <w:rPr>
          <w:rFonts w:hint="eastAsia" w:ascii="仿宋_GB2312" w:hAnsi="仿宋_GB2312" w:eastAsia="仿宋_GB2312" w:cs="仿宋_GB2312"/>
          <w:color w:val="auto"/>
          <w:kern w:val="0"/>
          <w:sz w:val="32"/>
          <w:szCs w:val="32"/>
          <w14:ligatures w14:val="none"/>
        </w:rPr>
        <w:t>各地各校要根据实际制订具体的实施办法。</w:t>
      </w:r>
    </w:p>
    <w:p w14:paraId="7C515684">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color w:val="auto"/>
          <w:kern w:val="0"/>
          <w:sz w:val="32"/>
          <w:szCs w:val="32"/>
          <w14:ligatures w14:val="none"/>
        </w:rPr>
      </w:pPr>
      <w:r>
        <w:rPr>
          <w:rFonts w:hint="eastAsia" w:ascii="仿宋_GB2312" w:hAnsi="仿宋_GB2312" w:eastAsia="仿宋_GB2312" w:cs="仿宋_GB2312"/>
          <w:color w:val="auto"/>
          <w:kern w:val="0"/>
          <w:sz w:val="32"/>
          <w:szCs w:val="32"/>
          <w14:ligatures w14:val="none"/>
        </w:rPr>
        <w:t>教育部</w:t>
      </w:r>
    </w:p>
    <w:p w14:paraId="5770FB84">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color w:val="auto"/>
          <w:kern w:val="0"/>
          <w:sz w:val="32"/>
          <w:szCs w:val="32"/>
          <w14:ligatures w14:val="none"/>
        </w:rPr>
      </w:pPr>
      <w:r>
        <w:rPr>
          <w:rFonts w:hint="eastAsia" w:ascii="仿宋_GB2312" w:hAnsi="仿宋_GB2312" w:eastAsia="仿宋_GB2312" w:cs="仿宋_GB2312"/>
          <w:color w:val="auto"/>
          <w:kern w:val="0"/>
          <w:sz w:val="32"/>
          <w:szCs w:val="32"/>
          <w14:ligatures w14:val="none"/>
        </w:rPr>
        <w:t>2014年9月29日</w:t>
      </w:r>
    </w:p>
    <w:p w14:paraId="32683DD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F7F"/>
    <w:rsid w:val="00077D6A"/>
    <w:rsid w:val="00194F7F"/>
    <w:rsid w:val="00B31486"/>
    <w:rsid w:val="120A1364"/>
    <w:rsid w:val="159F4903"/>
    <w:rsid w:val="53BA09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link w:val="11"/>
    <w:qFormat/>
    <w:uiPriority w:val="9"/>
    <w:pPr>
      <w:widowControl/>
      <w:spacing w:before="100" w:beforeAutospacing="1" w:after="100" w:afterAutospacing="1"/>
      <w:jc w:val="left"/>
      <w:outlineLvl w:val="0"/>
    </w:pPr>
    <w:rPr>
      <w:rFonts w:ascii="宋体" w:hAnsi="宋体" w:eastAsia="宋体" w:cs="宋体"/>
      <w:b/>
      <w:bCs/>
      <w:kern w:val="36"/>
      <w:sz w:val="48"/>
      <w:szCs w:val="48"/>
      <w14:ligatures w14:val="none"/>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unhideWhenUsed/>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tabs>
        <w:tab w:val="center" w:pos="4153"/>
        <w:tab w:val="right" w:pos="8306"/>
      </w:tabs>
      <w:snapToGrid w:val="0"/>
      <w:jc w:val="center"/>
    </w:pPr>
    <w:rPr>
      <w:sz w:val="18"/>
      <w:szCs w:val="18"/>
    </w:rPr>
  </w:style>
  <w:style w:type="paragraph" w:styleId="5">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14:ligatures w14:val="none"/>
    </w:rPr>
  </w:style>
  <w:style w:type="character" w:styleId="8">
    <w:name w:val="Strong"/>
    <w:basedOn w:val="7"/>
    <w:qFormat/>
    <w:uiPriority w:val="22"/>
    <w:rPr>
      <w:b/>
      <w:bCs/>
    </w:rPr>
  </w:style>
  <w:style w:type="character" w:customStyle="1" w:styleId="9">
    <w:name w:val="页眉 字符"/>
    <w:basedOn w:val="7"/>
    <w:link w:val="4"/>
    <w:qFormat/>
    <w:uiPriority w:val="99"/>
    <w:rPr>
      <w:sz w:val="18"/>
      <w:szCs w:val="18"/>
    </w:rPr>
  </w:style>
  <w:style w:type="character" w:customStyle="1" w:styleId="10">
    <w:name w:val="页脚 字符"/>
    <w:basedOn w:val="7"/>
    <w:link w:val="3"/>
    <w:qFormat/>
    <w:uiPriority w:val="99"/>
    <w:rPr>
      <w:sz w:val="18"/>
      <w:szCs w:val="18"/>
    </w:rPr>
  </w:style>
  <w:style w:type="character" w:customStyle="1" w:styleId="11">
    <w:name w:val="标题 1 字符"/>
    <w:basedOn w:val="7"/>
    <w:link w:val="2"/>
    <w:uiPriority w:val="9"/>
    <w:rPr>
      <w:rFonts w:ascii="宋体" w:hAnsi="宋体" w:eastAsia="宋体" w:cs="宋体"/>
      <w:b/>
      <w:bCs/>
      <w:kern w:val="36"/>
      <w:sz w:val="48"/>
      <w:szCs w:val="48"/>
      <w14:ligatures w14:val="none"/>
    </w:rPr>
  </w:style>
  <w:style w:type="paragraph" w:customStyle="1" w:styleId="12">
    <w:name w:val="moe-policy-wenhao"/>
    <w:basedOn w:val="1"/>
    <w:uiPriority w:val="0"/>
    <w:pPr>
      <w:widowControl/>
      <w:spacing w:before="100" w:beforeAutospacing="1" w:after="100" w:afterAutospacing="1"/>
      <w:jc w:val="left"/>
    </w:pPr>
    <w:rPr>
      <w:rFonts w:ascii="宋体" w:hAnsi="宋体" w:eastAsia="宋体" w:cs="宋体"/>
      <w:kern w:val="0"/>
      <w:sz w:val="24"/>
      <w:szCs w:val="24"/>
      <w14:ligatures w14: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3640</Words>
  <Characters>3648</Characters>
  <Lines>26</Lines>
  <Paragraphs>7</Paragraphs>
  <TotalTime>1</TotalTime>
  <ScaleCrop>false</ScaleCrop>
  <LinksUpToDate>false</LinksUpToDate>
  <CharactersWithSpaces>3690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2024-03-06T05:23:00Z</dcterms:created>
  <dc:creator>文宣 李</dc:creator>
  <cp:lastModifiedBy>老饕</cp:lastModifiedBy>
  <dcterms:modified xsi:type="dcterms:W3CDTF">2024-11-12T03:43:29Z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14E06B223350484098D9FEB5CFE1E1F0_12</vt:lpwstr>
  </property>
</Properties>
</file>